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CCA" w:rsidRDefault="00BE15C6" w:rsidP="00BE15C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15C6">
        <w:rPr>
          <w:rFonts w:ascii="Times New Roman" w:hAnsi="Times New Roman" w:cs="Times New Roman"/>
          <w:b/>
          <w:sz w:val="40"/>
          <w:szCs w:val="40"/>
        </w:rPr>
        <w:t>Банк России предупреждает о рисках ипотеки с аккредитивами и при переуступке договоров долевого участия</w:t>
      </w:r>
    </w:p>
    <w:p w:rsidR="00BE15C6" w:rsidRDefault="00BE15C6" w:rsidP="00BE15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15C6">
        <w:rPr>
          <w:rFonts w:ascii="Times New Roman" w:hAnsi="Times New Roman" w:cs="Times New Roman"/>
          <w:sz w:val="28"/>
          <w:szCs w:val="28"/>
        </w:rPr>
        <w:t>Банк России фиксирует появление новых схем при покупке строящегося жилья, несущих риски для покупателей.</w:t>
      </w:r>
    </w:p>
    <w:p w:rsidR="00BE15C6" w:rsidRDefault="00BE15C6" w:rsidP="00BE15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15C6">
        <w:rPr>
          <w:rFonts w:ascii="Times New Roman" w:hAnsi="Times New Roman" w:cs="Times New Roman"/>
          <w:sz w:val="28"/>
          <w:szCs w:val="28"/>
        </w:rPr>
        <w:t xml:space="preserve">Некоторые банки совместно с застройщиками предлагают при выдаче ипотеки заемщикам договоры участия в долевом строительстве (ДДУ), по которым часть средств за квартиру размещается не на счете </w:t>
      </w:r>
      <w:proofErr w:type="spellStart"/>
      <w:r w:rsidRPr="00BE15C6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BE15C6">
        <w:rPr>
          <w:rFonts w:ascii="Times New Roman" w:hAnsi="Times New Roman" w:cs="Times New Roman"/>
          <w:sz w:val="28"/>
          <w:szCs w:val="28"/>
        </w:rPr>
        <w:t>, а на аккредитиве. Банк от использования этих средств получает дополнительную доходность, часть которой может отдать заемщику в виде скидки по ипотечной ставке на этапе строительства. Застройщик может согласиться на эту схему, чтобы банк обеспечивал выдачу ипотеки и рост продаж.</w:t>
      </w:r>
    </w:p>
    <w:p w:rsidR="00BE15C6" w:rsidRDefault="00BE15C6" w:rsidP="00BE15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15C6">
        <w:rPr>
          <w:rFonts w:ascii="Times New Roman" w:hAnsi="Times New Roman" w:cs="Times New Roman"/>
          <w:sz w:val="28"/>
          <w:szCs w:val="28"/>
        </w:rPr>
        <w:t xml:space="preserve">Риски для граждан в этой схеме связаны с тем, что, в отличие от счетов </w:t>
      </w:r>
      <w:proofErr w:type="spellStart"/>
      <w:r w:rsidRPr="00BE15C6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BE15C6">
        <w:rPr>
          <w:rFonts w:ascii="Times New Roman" w:hAnsi="Times New Roman" w:cs="Times New Roman"/>
          <w:sz w:val="28"/>
          <w:szCs w:val="28"/>
        </w:rPr>
        <w:t>, которые застрахованы государством в размере до 10 млн рублей, средства на таком аккредитиве вообще не застрахованы. В случае отзыва лицензии у банка, в котором средства лежат на аккредитиве, человек может лишиться их, при этом еще остаться должным банку по ипотечному кредиту и потерять квартиру, так как ДДУ по факту не был полностью оплачен.</w:t>
      </w:r>
    </w:p>
    <w:p w:rsidR="00BE15C6" w:rsidRDefault="00BE15C6" w:rsidP="00BE15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15C6">
        <w:rPr>
          <w:rFonts w:ascii="Times New Roman" w:hAnsi="Times New Roman" w:cs="Times New Roman"/>
          <w:sz w:val="28"/>
          <w:szCs w:val="28"/>
        </w:rPr>
        <w:t xml:space="preserve">Кроме того, есть отдельные случаи, когда застройщики продают жилье на этапе строительства аффилированным лицам, заключая с ними ДДУ по цене в разы ниже рыночной, и эти средства размещаются на счете </w:t>
      </w:r>
      <w:proofErr w:type="spellStart"/>
      <w:r w:rsidRPr="00BE15C6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BE15C6">
        <w:rPr>
          <w:rFonts w:ascii="Times New Roman" w:hAnsi="Times New Roman" w:cs="Times New Roman"/>
          <w:sz w:val="28"/>
          <w:szCs w:val="28"/>
        </w:rPr>
        <w:t xml:space="preserve">. При переуступке (цессии) человек платит уже реальную рыночную цену, но вместе с правами требования по ДДУ получает счет </w:t>
      </w:r>
      <w:proofErr w:type="spellStart"/>
      <w:r w:rsidRPr="00BE15C6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BE15C6">
        <w:rPr>
          <w:rFonts w:ascii="Times New Roman" w:hAnsi="Times New Roman" w:cs="Times New Roman"/>
          <w:sz w:val="28"/>
          <w:szCs w:val="28"/>
        </w:rPr>
        <w:t xml:space="preserve">, на котором лишь первоначальная (заниженная) цена квартиры, а разница сразу уходит продавцу, аффилированному с застройщиком, и на счет </w:t>
      </w:r>
      <w:proofErr w:type="spellStart"/>
      <w:r w:rsidRPr="00BE15C6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BE15C6">
        <w:rPr>
          <w:rFonts w:ascii="Times New Roman" w:hAnsi="Times New Roman" w:cs="Times New Roman"/>
          <w:sz w:val="28"/>
          <w:szCs w:val="28"/>
        </w:rPr>
        <w:t xml:space="preserve"> вообще не зачисляется.</w:t>
      </w:r>
    </w:p>
    <w:p w:rsidR="00BE15C6" w:rsidRDefault="00BE15C6" w:rsidP="00BE15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15C6">
        <w:rPr>
          <w:rFonts w:ascii="Times New Roman" w:hAnsi="Times New Roman" w:cs="Times New Roman"/>
          <w:sz w:val="28"/>
          <w:szCs w:val="28"/>
        </w:rPr>
        <w:t xml:space="preserve">В данном случае человек несет риски уже в случае дефолта застройщика: в случае невыполнения застройщиком своих обязательств это приведет к потере большей части средств, по факту уплаченных за квартиру (разницы между заплаченной при покупке реальной ценой и суммой средств на счете </w:t>
      </w:r>
      <w:proofErr w:type="spellStart"/>
      <w:r w:rsidRPr="00BE15C6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BE15C6">
        <w:rPr>
          <w:rFonts w:ascii="Times New Roman" w:hAnsi="Times New Roman" w:cs="Times New Roman"/>
          <w:sz w:val="28"/>
          <w:szCs w:val="28"/>
        </w:rPr>
        <w:t>).</w:t>
      </w:r>
    </w:p>
    <w:p w:rsidR="00BE15C6" w:rsidRDefault="00BE15C6" w:rsidP="00BE15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15C6">
        <w:rPr>
          <w:rFonts w:ascii="Times New Roman" w:hAnsi="Times New Roman" w:cs="Times New Roman"/>
          <w:sz w:val="28"/>
          <w:szCs w:val="28"/>
        </w:rPr>
        <w:t>Банк России усматривает в таких схемах нарушение базовых принципов, заложенных в законе об участии в долевом строительстве</w:t>
      </w:r>
      <w:r w:rsidRPr="00BE15C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E15C6">
        <w:rPr>
          <w:rFonts w:ascii="Times New Roman" w:hAnsi="Times New Roman" w:cs="Times New Roman"/>
          <w:sz w:val="28"/>
          <w:szCs w:val="28"/>
        </w:rPr>
        <w:t xml:space="preserve">, которым предусмотрено привлечение застройщиком средств граждан на основании договора ДДУ с использованием счетов </w:t>
      </w:r>
      <w:proofErr w:type="spellStart"/>
      <w:r w:rsidRPr="00BE15C6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BE15C6">
        <w:rPr>
          <w:rFonts w:ascii="Times New Roman" w:hAnsi="Times New Roman" w:cs="Times New Roman"/>
          <w:sz w:val="28"/>
          <w:szCs w:val="28"/>
        </w:rPr>
        <w:t>, чтобы минимизировать риски для граждан.</w:t>
      </w:r>
    </w:p>
    <w:p w:rsidR="00BE15C6" w:rsidRDefault="00BE15C6" w:rsidP="00BE15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15C6">
        <w:rPr>
          <w:rFonts w:ascii="Times New Roman" w:hAnsi="Times New Roman" w:cs="Times New Roman"/>
          <w:sz w:val="28"/>
          <w:szCs w:val="28"/>
        </w:rPr>
        <w:t xml:space="preserve">Банки и застройщики, которые практикуют такие схемы, по сути, пользуются неосведомленностью людей. В частности, в законе четко не указан срок, когда именно деньги должны быть перечислены на счет </w:t>
      </w:r>
      <w:proofErr w:type="spellStart"/>
      <w:r w:rsidRPr="00BE15C6">
        <w:rPr>
          <w:rFonts w:ascii="Times New Roman" w:hAnsi="Times New Roman" w:cs="Times New Roman"/>
          <w:sz w:val="28"/>
          <w:szCs w:val="28"/>
        </w:rPr>
        <w:lastRenderedPageBreak/>
        <w:t>эскроу</w:t>
      </w:r>
      <w:proofErr w:type="spellEnd"/>
      <w:r w:rsidRPr="00BE15C6">
        <w:rPr>
          <w:rFonts w:ascii="Times New Roman" w:hAnsi="Times New Roman" w:cs="Times New Roman"/>
          <w:sz w:val="28"/>
          <w:szCs w:val="28"/>
        </w:rPr>
        <w:t xml:space="preserve">, а указано, что это должно произойти в соответствии с договором, но не позже момента сдачи дома в эксплуатацию. На практике это означает, что формально можно составить договор таким образом, что средства останутся без страховой защиты в течение нескольких лет, пока строится дом, или часть средств не будет направляться на счет </w:t>
      </w:r>
      <w:proofErr w:type="spellStart"/>
      <w:r w:rsidRPr="00BE15C6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BE15C6">
        <w:rPr>
          <w:rFonts w:ascii="Times New Roman" w:hAnsi="Times New Roman" w:cs="Times New Roman"/>
          <w:sz w:val="28"/>
          <w:szCs w:val="28"/>
        </w:rPr>
        <w:t>. При этом люди могут не понимать рисков, которые они в связи с этим на себя принимают.</w:t>
      </w:r>
    </w:p>
    <w:p w:rsidR="00BE15C6" w:rsidRDefault="00BE15C6" w:rsidP="00BE15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15C6">
        <w:rPr>
          <w:rFonts w:ascii="Times New Roman" w:hAnsi="Times New Roman" w:cs="Times New Roman"/>
          <w:sz w:val="28"/>
          <w:szCs w:val="28"/>
        </w:rPr>
        <w:t>Банк России считает такие практики недопустимыми и доведет свою позицию до кредитных организаций (в том числе в рамках надзорного диалога). Банкам следует обеспечивать качественное банковское сопровождение долевого строительства и обращать внимание на стоимость (нерыночные условия), указанные в договорах долевого участия, заключаемых между застройщиками и юридическими лицами (в том числе аффилированными).</w:t>
      </w:r>
    </w:p>
    <w:p w:rsidR="00BE15C6" w:rsidRDefault="00BE15C6" w:rsidP="00BE15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15C6">
        <w:rPr>
          <w:rFonts w:ascii="Times New Roman" w:hAnsi="Times New Roman" w:cs="Times New Roman"/>
          <w:sz w:val="28"/>
          <w:szCs w:val="28"/>
        </w:rPr>
        <w:t xml:space="preserve">Банк России в ближайшее время планирует завершить работу по созданию Комитета по стандартам, где первым вопросом будет принятие ипотечного стандарта. В нем будет указываться на недопустимость навязывания людям заведомо сложных и рискованных ипотечных продуктов. Так, ограничения по сроку нахождения заемных средств на счете заемщика до перевода на счет </w:t>
      </w:r>
      <w:proofErr w:type="spellStart"/>
      <w:r w:rsidRPr="00BE15C6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BE15C6">
        <w:rPr>
          <w:rFonts w:ascii="Times New Roman" w:hAnsi="Times New Roman" w:cs="Times New Roman"/>
          <w:sz w:val="28"/>
          <w:szCs w:val="28"/>
        </w:rPr>
        <w:t xml:space="preserve"> (в том числе на аккредитиве) должны стать частью стандарта защиты интересов ипотечных заемщиков. В случае несоблюдения стандарта будут применяться предусмотренные законодательством меры принуждения. Если банк предоставляет неполную и (или) недостоверную информацию заемщику, Банк России рассмотрит возможности применения Федерального закона № 192-ФЗ</w:t>
      </w:r>
      <w:r w:rsidRPr="00BE15C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E15C6">
        <w:rPr>
          <w:rFonts w:ascii="Times New Roman" w:hAnsi="Times New Roman" w:cs="Times New Roman"/>
          <w:sz w:val="28"/>
          <w:szCs w:val="28"/>
        </w:rPr>
        <w:t> в части приостановки продаж таких продуктов.</w:t>
      </w:r>
    </w:p>
    <w:p w:rsidR="00BE15C6" w:rsidRDefault="00BE15C6" w:rsidP="00BE15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15C6">
        <w:rPr>
          <w:rFonts w:ascii="Times New Roman" w:hAnsi="Times New Roman" w:cs="Times New Roman"/>
          <w:sz w:val="28"/>
          <w:szCs w:val="28"/>
        </w:rPr>
        <w:t>Помимо этого, Банк России проработает возможность внесения изменений в регулирование, направленных на то, чтобы завышение стоимости жилья за счет комиссий (прямых или косвенных, как через использование схемы с аккредитивом) соразмерно отражалось на показателях оценки финансового риска (LTV</w:t>
      </w:r>
      <w:r w:rsidRPr="00BE15C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E15C6">
        <w:rPr>
          <w:rFonts w:ascii="Times New Roman" w:hAnsi="Times New Roman" w:cs="Times New Roman"/>
          <w:sz w:val="28"/>
          <w:szCs w:val="28"/>
        </w:rPr>
        <w:t>, коэффициентах риска в расчете нормативов достаточности капитала и </w:t>
      </w:r>
      <w:proofErr w:type="spellStart"/>
      <w:r w:rsidRPr="00BE15C6">
        <w:rPr>
          <w:rFonts w:ascii="Times New Roman" w:hAnsi="Times New Roman" w:cs="Times New Roman"/>
          <w:sz w:val="28"/>
          <w:szCs w:val="28"/>
        </w:rPr>
        <w:t>макропруденциальных</w:t>
      </w:r>
      <w:proofErr w:type="spellEnd"/>
      <w:r w:rsidRPr="00BE15C6">
        <w:rPr>
          <w:rFonts w:ascii="Times New Roman" w:hAnsi="Times New Roman" w:cs="Times New Roman"/>
          <w:sz w:val="28"/>
          <w:szCs w:val="28"/>
        </w:rPr>
        <w:t xml:space="preserve"> надбавок к ним, в перспективе — на МПЛ</w:t>
      </w:r>
      <w:r w:rsidRPr="00BE15C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BE15C6">
        <w:rPr>
          <w:rFonts w:ascii="Times New Roman" w:hAnsi="Times New Roman" w:cs="Times New Roman"/>
          <w:sz w:val="28"/>
          <w:szCs w:val="28"/>
        </w:rPr>
        <w:t>). Это ограничит выдачу таких рискованных кредитов. Будет также проведена надзорная проверка корректности оценки банками стоимости недвижимости при расчете LTV.</w:t>
      </w:r>
    </w:p>
    <w:p w:rsidR="00BE15C6" w:rsidRPr="00BE15C6" w:rsidRDefault="00BE15C6" w:rsidP="00BE15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15C6">
        <w:rPr>
          <w:rFonts w:ascii="Times New Roman" w:hAnsi="Times New Roman" w:cs="Times New Roman"/>
          <w:sz w:val="28"/>
          <w:szCs w:val="28"/>
        </w:rPr>
        <w:t>Также Банк России планирует обсудить с Правительством России возможности внесения изменений в правила выдачи ипотеки с господдержкой, направленных на то, чтобы предоставление льгот при использовании застройщиками подобных схем было невозможно, что защитит интересы получателей ипотеки с господдержкой.</w:t>
      </w:r>
    </w:p>
    <w:p w:rsidR="00BE15C6" w:rsidRDefault="00BE15C6" w:rsidP="00BE1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5C6">
        <w:rPr>
          <w:rFonts w:ascii="Times New Roman" w:hAnsi="Times New Roman" w:cs="Times New Roman"/>
          <w:sz w:val="28"/>
          <w:szCs w:val="28"/>
        </w:rPr>
        <w:t>Одновременно Банк России считает необходимым обратиться в Минстрой России с предложением рассмотреть возможность внесения изменений в Федеральный закон № 214</w:t>
      </w:r>
      <w:r w:rsidRPr="00BE15C6">
        <w:rPr>
          <w:rFonts w:ascii="Times New Roman" w:hAnsi="Times New Roman" w:cs="Times New Roman"/>
          <w:sz w:val="28"/>
          <w:szCs w:val="28"/>
        </w:rPr>
        <w:noBreakHyphen/>
        <w:t>ФЗ, которые бы препятствовали реализации описанных выше схем.</w:t>
      </w:r>
    </w:p>
    <w:p w:rsidR="00BE15C6" w:rsidRPr="00BE15C6" w:rsidRDefault="00BE15C6" w:rsidP="00BE15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15C6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Рекомендуем людям обращать пристальное внимание на договоры ДДУ, а именно ту часть, где говорится о порядке и сроках зачисления средств на счетах </w:t>
      </w:r>
      <w:proofErr w:type="spellStart"/>
      <w:r w:rsidRPr="00BE15C6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BE15C6">
        <w:rPr>
          <w:rFonts w:ascii="Times New Roman" w:hAnsi="Times New Roman" w:cs="Times New Roman"/>
          <w:sz w:val="28"/>
          <w:szCs w:val="28"/>
        </w:rPr>
        <w:t xml:space="preserve">. Для снижения рисков средства вне счета </w:t>
      </w:r>
      <w:proofErr w:type="spellStart"/>
      <w:r w:rsidRPr="00BE15C6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BE15C6">
        <w:rPr>
          <w:rFonts w:ascii="Times New Roman" w:hAnsi="Times New Roman" w:cs="Times New Roman"/>
          <w:sz w:val="28"/>
          <w:szCs w:val="28"/>
        </w:rPr>
        <w:t xml:space="preserve"> должны находиться не дольше, чем это требуется для обеспечения расчетов (как правило, не более нескольких дней с даты регистрации ДДУ). Существенные отклонения от этого, а также упоминание в договоре расчетов через аккредитив могут быть признаками того, что договор составлен не в интересах покупателя и несет для него дополнительные риски.</w:t>
      </w:r>
    </w:p>
    <w:p w:rsidR="00BE15C6" w:rsidRPr="00BE15C6" w:rsidRDefault="00EF394A" w:rsidP="00BE15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154.35pt;height:0" o:hrpct="330" o:hrstd="t" o:hr="t" fillcolor="#a0a0a0" stroked="f"/>
        </w:pict>
      </w:r>
    </w:p>
    <w:p w:rsidR="00BE15C6" w:rsidRPr="00BE15C6" w:rsidRDefault="00BE15C6" w:rsidP="00BE15C6">
      <w:pPr>
        <w:jc w:val="both"/>
        <w:rPr>
          <w:rFonts w:ascii="Times New Roman" w:hAnsi="Times New Roman" w:cs="Times New Roman"/>
          <w:sz w:val="20"/>
          <w:szCs w:val="20"/>
        </w:rPr>
      </w:pPr>
      <w:r w:rsidRPr="00BE15C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E15C6">
        <w:rPr>
          <w:rFonts w:ascii="Times New Roman" w:hAnsi="Times New Roman" w:cs="Times New Roman"/>
          <w:sz w:val="20"/>
          <w:szCs w:val="20"/>
        </w:rPr>
        <w:t> Федеральный закон от 30.12.2004 № 214-ФЗ «Об участии в долевом строительстве многоквартирных домов и иных объектов недвижимости и о внесении изменений в некоторые законодательные акты Российской Федерации» (далее — Федеральный закон № 214-ФЗ) и Федеральный закон от 01.07.2018 № 175-ФЗ «О внесении изменений в Федеральный закон „Об участии в долевом строительстве многоквартирных домов и иных объектов недвижимости и о внесении изменений в некоторые законодательные акты Российской Федерации“ и отдельные законодательные акты Российской Федерации».</w:t>
      </w:r>
    </w:p>
    <w:p w:rsidR="00BE15C6" w:rsidRPr="00BE15C6" w:rsidRDefault="00BE15C6" w:rsidP="00BE15C6">
      <w:pPr>
        <w:jc w:val="both"/>
        <w:rPr>
          <w:rFonts w:ascii="Times New Roman" w:hAnsi="Times New Roman" w:cs="Times New Roman"/>
          <w:sz w:val="20"/>
          <w:szCs w:val="20"/>
        </w:rPr>
      </w:pPr>
      <w:r w:rsidRPr="00BE15C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BE15C6">
        <w:rPr>
          <w:rFonts w:ascii="Times New Roman" w:hAnsi="Times New Roman" w:cs="Times New Roman"/>
          <w:sz w:val="20"/>
          <w:szCs w:val="20"/>
        </w:rPr>
        <w:t> Федеральный закон от 11.06.2021 № 192-ФЗ «О внесении изменений в отдельные законодательные акты Российской Федерации».</w:t>
      </w:r>
    </w:p>
    <w:p w:rsidR="00BE15C6" w:rsidRPr="00BE15C6" w:rsidRDefault="00BE15C6" w:rsidP="00BE15C6">
      <w:pPr>
        <w:jc w:val="both"/>
        <w:rPr>
          <w:rFonts w:ascii="Times New Roman" w:hAnsi="Times New Roman" w:cs="Times New Roman"/>
          <w:sz w:val="20"/>
          <w:szCs w:val="20"/>
        </w:rPr>
      </w:pPr>
      <w:r w:rsidRPr="00BE15C6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BE15C6">
        <w:rPr>
          <w:rFonts w:ascii="Times New Roman" w:hAnsi="Times New Roman" w:cs="Times New Roman"/>
          <w:sz w:val="20"/>
          <w:szCs w:val="20"/>
        </w:rPr>
        <w:t> Для сегмента ипотеки по ДДУ — соотношение первоначального взноса и стоимости ДДУ.</w:t>
      </w:r>
    </w:p>
    <w:p w:rsidR="00BE15C6" w:rsidRDefault="00BE15C6" w:rsidP="00BE15C6">
      <w:pPr>
        <w:jc w:val="both"/>
        <w:rPr>
          <w:rFonts w:ascii="Times New Roman" w:hAnsi="Times New Roman" w:cs="Times New Roman"/>
          <w:sz w:val="20"/>
          <w:szCs w:val="20"/>
        </w:rPr>
      </w:pPr>
      <w:r w:rsidRPr="00BE15C6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BE15C6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BE15C6">
        <w:rPr>
          <w:rFonts w:ascii="Times New Roman" w:hAnsi="Times New Roman" w:cs="Times New Roman"/>
          <w:sz w:val="20"/>
          <w:szCs w:val="20"/>
        </w:rPr>
        <w:t>Макропруденциальный</w:t>
      </w:r>
      <w:proofErr w:type="spellEnd"/>
      <w:r w:rsidRPr="00BE15C6">
        <w:rPr>
          <w:rFonts w:ascii="Times New Roman" w:hAnsi="Times New Roman" w:cs="Times New Roman"/>
          <w:sz w:val="20"/>
          <w:szCs w:val="20"/>
        </w:rPr>
        <w:t xml:space="preserve"> лимит, ограничивающий долю рискованных кредитов в объеме выдач.</w:t>
      </w:r>
    </w:p>
    <w:p w:rsidR="00EF394A" w:rsidRDefault="00EF394A" w:rsidP="00BE15C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F394A" w:rsidRDefault="00EF394A" w:rsidP="00BE1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394A" w:rsidRDefault="00EF394A" w:rsidP="00EF3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представлен Пресс-службой Банка России</w:t>
      </w:r>
    </w:p>
    <w:p w:rsidR="00BE15C6" w:rsidRPr="00BE15C6" w:rsidRDefault="00EF394A" w:rsidP="00EF3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94A">
        <w:rPr>
          <w:rFonts w:ascii="Times New Roman" w:hAnsi="Times New Roman" w:cs="Times New Roman"/>
          <w:b/>
          <w:sz w:val="28"/>
          <w:szCs w:val="28"/>
        </w:rPr>
        <w:t>http://www.cbr.ru/press/pr/?fil</w:t>
      </w:r>
      <w:bookmarkStart w:id="0" w:name="_GoBack"/>
      <w:bookmarkEnd w:id="0"/>
      <w:r w:rsidRPr="00EF394A">
        <w:rPr>
          <w:rFonts w:ascii="Times New Roman" w:hAnsi="Times New Roman" w:cs="Times New Roman"/>
          <w:b/>
          <w:sz w:val="28"/>
          <w:szCs w:val="28"/>
        </w:rPr>
        <w:t>e=638448820151365927BANK_SECTOR.htm</w:t>
      </w:r>
    </w:p>
    <w:sectPr w:rsidR="00BE15C6" w:rsidRPr="00BE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74"/>
    <w:rsid w:val="003D7E74"/>
    <w:rsid w:val="004C5CCA"/>
    <w:rsid w:val="00BE15C6"/>
    <w:rsid w:val="00E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D734"/>
  <w15:chartTrackingRefBased/>
  <w15:docId w15:val="{93F5AB52-0395-4B43-BD3E-18AE9FD3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981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М. Кузнецова</dc:creator>
  <cp:keywords/>
  <dc:description/>
  <cp:lastModifiedBy>Анна М. Кузнецова</cp:lastModifiedBy>
  <cp:revision>3</cp:revision>
  <dcterms:created xsi:type="dcterms:W3CDTF">2024-03-04T11:03:00Z</dcterms:created>
  <dcterms:modified xsi:type="dcterms:W3CDTF">2024-03-04T11:08:00Z</dcterms:modified>
</cp:coreProperties>
</file>